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12" w:rsidRDefault="00F83712" w:rsidP="00F83712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Scenariusz zajęć powstał w ramach projektu </w:t>
      </w:r>
    </w:p>
    <w:p w:rsidR="00F83712" w:rsidRDefault="00F83712" w:rsidP="00F83712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E57F9">
        <w:rPr>
          <w:rFonts w:ascii="Times New Roman" w:hAnsi="Times New Roman" w:cs="Times New Roman"/>
          <w:sz w:val="28"/>
          <w:szCs w:val="28"/>
        </w:rPr>
        <w:t>„</w:t>
      </w:r>
      <w:r w:rsidR="00EE57F9" w:rsidRPr="00EE57F9">
        <w:rPr>
          <w:rFonts w:ascii="Times New Roman" w:hAnsi="Times New Roman" w:cs="Times New Roman"/>
          <w:sz w:val="28"/>
          <w:szCs w:val="28"/>
        </w:rPr>
        <w:t>Uczę się, uczę innych, uczę się od innych</w:t>
      </w:r>
      <w:r w:rsidRPr="00EE57F9">
        <w:rPr>
          <w:rFonts w:ascii="Times New Roman" w:hAnsi="Times New Roman" w:cs="Times New Roman"/>
          <w:sz w:val="28"/>
          <w:szCs w:val="28"/>
        </w:rPr>
        <w:t>– współpraca międzynarodowa nauczycieli</w:t>
      </w:r>
      <w:r>
        <w:rPr>
          <w:rFonts w:ascii="Times New Roman" w:hAnsi="Times New Roman" w:cs="Times New Roman"/>
          <w:sz w:val="28"/>
          <w:szCs w:val="28"/>
        </w:rPr>
        <w:t xml:space="preserve"> gwarantem sukcesu uczniów Kopernika”</w:t>
      </w:r>
    </w:p>
    <w:p w:rsidR="00F83712" w:rsidRDefault="00F83712" w:rsidP="00F83712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712" w:rsidRDefault="00F83712" w:rsidP="00F83712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Pozabankowe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formy inwestowania</w:t>
      </w:r>
    </w:p>
    <w:p w:rsidR="00F83712" w:rsidRDefault="00F83712" w:rsidP="00F83712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Jaką wybrać formę inwestycji?</w:t>
      </w:r>
    </w:p>
    <w:p w:rsidR="00F83712" w:rsidRDefault="00F83712" w:rsidP="00F83712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712" w:rsidRDefault="00F83712" w:rsidP="00F83712">
      <w:pPr>
        <w:ind w:firstLine="0"/>
        <w:rPr>
          <w:rStyle w:val="contact-postcode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b/>
          <w:sz w:val="24"/>
          <w:szCs w:val="24"/>
        </w:rPr>
        <w:t xml:space="preserve">Nauczyciel: </w:t>
      </w:r>
      <w:r>
        <w:rPr>
          <w:rStyle w:val="contact-postcode"/>
          <w:rFonts w:ascii="Times New Roman" w:hAnsi="Times New Roman" w:cs="Times New Roman"/>
          <w:sz w:val="24"/>
          <w:szCs w:val="24"/>
        </w:rPr>
        <w:t>Maria Miklasińska</w:t>
      </w:r>
    </w:p>
    <w:p w:rsidR="00F83712" w:rsidRDefault="00F83712" w:rsidP="00F83712">
      <w:pPr>
        <w:ind w:firstLine="0"/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b/>
          <w:sz w:val="24"/>
          <w:szCs w:val="24"/>
        </w:rPr>
        <w:t xml:space="preserve">Przedmiot: </w:t>
      </w:r>
      <w:r>
        <w:rPr>
          <w:rFonts w:ascii="Times New Roman" w:hAnsi="Times New Roman" w:cs="Times New Roman"/>
          <w:sz w:val="24"/>
          <w:szCs w:val="24"/>
        </w:rPr>
        <w:t>Podstawy przedsiębiorczości</w:t>
      </w:r>
    </w:p>
    <w:p w:rsidR="00F83712" w:rsidRDefault="00F83712" w:rsidP="00F83712">
      <w:pPr>
        <w:ind w:firstLine="0"/>
        <w:rPr>
          <w:rStyle w:val="contact-postcode"/>
          <w:rFonts w:ascii="Times New Roman" w:hAnsi="Times New Roman" w:cs="Times New Roman"/>
          <w:b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b/>
          <w:sz w:val="24"/>
          <w:szCs w:val="24"/>
        </w:rPr>
        <w:t xml:space="preserve">Cel ogólny: </w:t>
      </w:r>
      <w:r>
        <w:rPr>
          <w:rStyle w:val="contact-postcode"/>
          <w:rFonts w:ascii="Times New Roman" w:hAnsi="Times New Roman" w:cs="Times New Roman"/>
          <w:bCs/>
          <w:sz w:val="24"/>
          <w:szCs w:val="24"/>
        </w:rPr>
        <w:t>zapoznanie uczniów z wyborem formy inwestycji</w:t>
      </w:r>
    </w:p>
    <w:p w:rsidR="00F83712" w:rsidRDefault="00F83712" w:rsidP="00F83712">
      <w:pPr>
        <w:ind w:firstLine="0"/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b/>
          <w:sz w:val="24"/>
          <w:szCs w:val="24"/>
        </w:rPr>
        <w:t>Cele operacyjne</w:t>
      </w:r>
      <w:r>
        <w:rPr>
          <w:rStyle w:val="contact-postcode"/>
          <w:rFonts w:ascii="Times New Roman" w:hAnsi="Times New Roman" w:cs="Times New Roman"/>
          <w:sz w:val="24"/>
          <w:szCs w:val="24"/>
        </w:rPr>
        <w:t>:</w:t>
      </w:r>
    </w:p>
    <w:p w:rsidR="00F83712" w:rsidRDefault="00F83712" w:rsidP="00F83712">
      <w:pPr>
        <w:pStyle w:val="Akapitzlist"/>
        <w:numPr>
          <w:ilvl w:val="0"/>
          <w:numId w:val="1"/>
        </w:numPr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sz w:val="24"/>
          <w:szCs w:val="24"/>
        </w:rPr>
        <w:t>wyjaśnia znaczenie terminów: inwestowanie, instrument finansowy, portfel inwestycyjny, dywersyfikacja inwestycji,</w:t>
      </w:r>
    </w:p>
    <w:p w:rsidR="00F83712" w:rsidRDefault="00F83712" w:rsidP="00F83712">
      <w:pPr>
        <w:pStyle w:val="Akapitzlist"/>
        <w:numPr>
          <w:ilvl w:val="0"/>
          <w:numId w:val="1"/>
        </w:numPr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sz w:val="24"/>
          <w:szCs w:val="24"/>
        </w:rPr>
        <w:t>identyfikuje rodzaje inwestycji,</w:t>
      </w:r>
    </w:p>
    <w:p w:rsidR="00F83712" w:rsidRDefault="00F83712" w:rsidP="00F83712">
      <w:pPr>
        <w:pStyle w:val="Akapitzlist"/>
        <w:numPr>
          <w:ilvl w:val="0"/>
          <w:numId w:val="1"/>
        </w:numPr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sz w:val="24"/>
          <w:szCs w:val="24"/>
        </w:rPr>
        <w:t>rozróżnia i charakteryzuje inwestycje,</w:t>
      </w:r>
    </w:p>
    <w:p w:rsidR="004262FA" w:rsidRDefault="004262FA" w:rsidP="00F83712">
      <w:pPr>
        <w:pStyle w:val="Akapitzlist"/>
        <w:numPr>
          <w:ilvl w:val="0"/>
          <w:numId w:val="1"/>
        </w:numPr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sz w:val="24"/>
          <w:szCs w:val="24"/>
        </w:rPr>
        <w:t>zna nazwy angielskie inwestycji,</w:t>
      </w:r>
    </w:p>
    <w:p w:rsidR="00F83712" w:rsidRDefault="00F83712" w:rsidP="00F83712">
      <w:pPr>
        <w:pStyle w:val="Akapitzlist"/>
        <w:numPr>
          <w:ilvl w:val="0"/>
          <w:numId w:val="1"/>
        </w:numPr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sz w:val="24"/>
          <w:szCs w:val="24"/>
        </w:rPr>
        <w:t>wskazuje różnice między poszczególnymi rodzajami instrumentów finansowych,</w:t>
      </w:r>
    </w:p>
    <w:p w:rsidR="00F83712" w:rsidRDefault="00F83712" w:rsidP="00F83712">
      <w:pPr>
        <w:pStyle w:val="Akapitzlist"/>
        <w:numPr>
          <w:ilvl w:val="0"/>
          <w:numId w:val="1"/>
        </w:numPr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sz w:val="24"/>
          <w:szCs w:val="24"/>
        </w:rPr>
        <w:t>wymienia i charakteryzuje kryteria wyboru formy inwestycji,</w:t>
      </w:r>
    </w:p>
    <w:p w:rsidR="00F83712" w:rsidRDefault="00F83712" w:rsidP="00F83712">
      <w:pPr>
        <w:pStyle w:val="Akapitzlist"/>
        <w:numPr>
          <w:ilvl w:val="0"/>
          <w:numId w:val="1"/>
        </w:numPr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sz w:val="24"/>
          <w:szCs w:val="24"/>
        </w:rPr>
        <w:t>dostrzega zróżnicowanie stopnia ryzyka w zależności od rodzaju inwestycji oraz okresu inwestowania.</w:t>
      </w:r>
    </w:p>
    <w:p w:rsidR="00F83712" w:rsidRDefault="00F83712" w:rsidP="00F83712">
      <w:pPr>
        <w:ind w:firstLine="0"/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b/>
          <w:sz w:val="24"/>
          <w:szCs w:val="24"/>
        </w:rPr>
        <w:t>Metody pracy</w:t>
      </w:r>
      <w:r>
        <w:rPr>
          <w:rStyle w:val="contact-postcode"/>
          <w:rFonts w:ascii="Times New Roman" w:hAnsi="Times New Roman" w:cs="Times New Roman"/>
          <w:sz w:val="24"/>
          <w:szCs w:val="24"/>
        </w:rPr>
        <w:t>: pokaz, pogadanka, metoda PBL</w:t>
      </w:r>
    </w:p>
    <w:p w:rsidR="00F83712" w:rsidRDefault="00F83712" w:rsidP="00F83712">
      <w:pPr>
        <w:ind w:firstLine="0"/>
        <w:rPr>
          <w:rStyle w:val="contact-postcode"/>
          <w:rFonts w:ascii="Times New Roman" w:hAnsi="Times New Roman" w:cs="Times New Roman"/>
          <w:b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b/>
          <w:sz w:val="24"/>
          <w:szCs w:val="24"/>
        </w:rPr>
        <w:t>Formy pracy:</w:t>
      </w:r>
      <w:r>
        <w:rPr>
          <w:rStyle w:val="contact-postcode"/>
          <w:rFonts w:ascii="Times New Roman" w:hAnsi="Times New Roman" w:cs="Times New Roman"/>
          <w:bCs/>
          <w:sz w:val="24"/>
          <w:szCs w:val="24"/>
        </w:rPr>
        <w:t xml:space="preserve"> szkolna, lekcyjna, grupowa</w:t>
      </w:r>
    </w:p>
    <w:p w:rsidR="00F83712" w:rsidRDefault="00F83712" w:rsidP="00F83712">
      <w:pPr>
        <w:ind w:firstLine="0"/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b/>
          <w:sz w:val="24"/>
          <w:szCs w:val="24"/>
        </w:rPr>
        <w:t>Środki dydaktyczne</w:t>
      </w:r>
      <w:r>
        <w:rPr>
          <w:rStyle w:val="contact-postcode"/>
          <w:rFonts w:ascii="Times New Roman" w:hAnsi="Times New Roman" w:cs="Times New Roman"/>
          <w:sz w:val="24"/>
          <w:szCs w:val="24"/>
        </w:rPr>
        <w:t>: prezentacja multimedialna, kartki z ćwiczeniami</w:t>
      </w:r>
    </w:p>
    <w:p w:rsidR="00F83712" w:rsidRDefault="00F83712" w:rsidP="00F83712">
      <w:pPr>
        <w:ind w:firstLine="0"/>
        <w:rPr>
          <w:rStyle w:val="contact-postcode"/>
          <w:rFonts w:ascii="Calibri" w:hAnsi="Calibri"/>
          <w:sz w:val="24"/>
          <w:szCs w:val="24"/>
        </w:rPr>
      </w:pPr>
      <w:r>
        <w:rPr>
          <w:rStyle w:val="contact-postcode"/>
          <w:rFonts w:ascii="Calibri" w:hAnsi="Calibri"/>
          <w:b/>
          <w:sz w:val="24"/>
          <w:szCs w:val="24"/>
        </w:rPr>
        <w:t>Przebieg lekcji</w:t>
      </w:r>
      <w:r>
        <w:rPr>
          <w:rStyle w:val="contact-postcode"/>
          <w:rFonts w:ascii="Calibri" w:hAnsi="Calibri"/>
          <w:sz w:val="24"/>
          <w:szCs w:val="24"/>
        </w:rPr>
        <w:t>:</w:t>
      </w:r>
    </w:p>
    <w:p w:rsidR="00F83712" w:rsidRDefault="00F83712" w:rsidP="00F83712">
      <w:pPr>
        <w:ind w:firstLine="0"/>
        <w:rPr>
          <w:rStyle w:val="contact-postcode"/>
          <w:rFonts w:ascii="Calibri" w:hAnsi="Calibri"/>
          <w:sz w:val="24"/>
          <w:szCs w:val="24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5814"/>
        <w:gridCol w:w="1547"/>
      </w:tblGrid>
      <w:tr w:rsidR="00F83712" w:rsidTr="00F83712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12" w:rsidRDefault="00F83712">
            <w:pPr>
              <w:ind w:firstLine="0"/>
              <w:rPr>
                <w:rStyle w:val="contact-postcode"/>
                <w:rFonts w:ascii="Calibri" w:hAnsi="Calibri"/>
                <w:b/>
                <w:sz w:val="24"/>
                <w:szCs w:val="24"/>
              </w:rPr>
            </w:pPr>
            <w:r>
              <w:rPr>
                <w:rStyle w:val="contact-postcode"/>
                <w:rFonts w:ascii="Calibri" w:hAnsi="Calibri"/>
                <w:b/>
                <w:sz w:val="24"/>
                <w:szCs w:val="24"/>
              </w:rPr>
              <w:t>Część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12" w:rsidRDefault="00F83712">
            <w:pPr>
              <w:ind w:firstLine="0"/>
              <w:jc w:val="center"/>
              <w:rPr>
                <w:rStyle w:val="contact-postcode"/>
                <w:rFonts w:ascii="Calibri" w:hAnsi="Calibri"/>
                <w:b/>
                <w:sz w:val="24"/>
                <w:szCs w:val="24"/>
              </w:rPr>
            </w:pPr>
            <w:r>
              <w:rPr>
                <w:rStyle w:val="contact-postcode"/>
                <w:rFonts w:ascii="Calibri" w:hAnsi="Calibri"/>
                <w:b/>
                <w:sz w:val="24"/>
                <w:szCs w:val="24"/>
              </w:rPr>
              <w:t>Przebieg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12" w:rsidRDefault="00F83712">
            <w:pPr>
              <w:ind w:firstLine="0"/>
              <w:rPr>
                <w:rStyle w:val="contact-postcode"/>
                <w:rFonts w:ascii="Calibri" w:hAnsi="Calibri"/>
                <w:b/>
                <w:sz w:val="24"/>
                <w:szCs w:val="24"/>
              </w:rPr>
            </w:pPr>
            <w:r>
              <w:rPr>
                <w:rStyle w:val="contact-postcode"/>
                <w:rFonts w:ascii="Calibri" w:hAnsi="Calibri"/>
                <w:b/>
                <w:sz w:val="24"/>
                <w:szCs w:val="24"/>
              </w:rPr>
              <w:t>Uwagi</w:t>
            </w:r>
          </w:p>
        </w:tc>
      </w:tr>
      <w:tr w:rsidR="00F83712" w:rsidTr="00F83712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  <w:t>Prolog</w:t>
            </w:r>
          </w:p>
          <w:p w:rsidR="00F83712" w:rsidRDefault="00F83712">
            <w:pP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ok. 5 min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Powitanie, sprawdzenie obecności.</w:t>
            </w: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Nauczyciel wraz z uczniami przypomina rodzaje papierów wartościowych oraz zasady funkcjonowania funduszy inwestycyjnych.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left="0"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712" w:rsidTr="00F83712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1.Wprowadzenie</w:t>
            </w:r>
          </w:p>
          <w:p w:rsidR="00F83712" w:rsidRDefault="00F83712">
            <w:pPr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ok. 5-min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Podanie tematu lekcji.</w:t>
            </w: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Nauczyciel omawia rodzaje inwestycji.</w:t>
            </w:r>
          </w:p>
          <w:p w:rsidR="004262FA" w:rsidRDefault="004262FA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Podaje nazwy angielskie poszczególnych inwestycji.</w:t>
            </w:r>
          </w:p>
          <w:p w:rsidR="00F83712" w:rsidRDefault="00F83712">
            <w:pPr>
              <w:ind w:firstLine="0"/>
              <w:rPr>
                <w:rStyle w:val="contact-postcode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Prezentacja „Formy inwestowania”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left="0"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712" w:rsidTr="007A2D4C">
        <w:trPr>
          <w:cantSplit/>
          <w:trHeight w:val="90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  <w:t>2.Część zasadnicza</w:t>
            </w:r>
          </w:p>
          <w:p w:rsidR="00F83712" w:rsidRDefault="00F83712">
            <w:pPr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ok.30 min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Nauczyciel proponuje wybór inwestycji.</w:t>
            </w: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Nauczyciel dzieli uczniów na 6 grup i prosi ich, aby na kartkach z zadaniami, wypisali wady i zalety inwestowania w: akcje, obligacje, fundusze inwestycyjne, lokaty bankowe, nieruchomości, waluty obce. Następnie przedstawiciele grup prezentują na forum klasy otrzymane wyniki (rezultaty).</w:t>
            </w:r>
          </w:p>
          <w:p w:rsidR="00F83712" w:rsidRDefault="00F83712" w:rsidP="007A2D4C">
            <w:pPr>
              <w:ind w:left="0"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Uczniowie określają kryteria wyboru optymalnej formy inwestowania, uwzględniając:</w:t>
            </w:r>
          </w:p>
          <w:p w:rsidR="00F83712" w:rsidRDefault="00F83712" w:rsidP="00141B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Jaką kwotę zamierzam przeznaczyć na inwestycje?</w:t>
            </w:r>
          </w:p>
          <w:p w:rsidR="00F83712" w:rsidRDefault="00F83712" w:rsidP="00141B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Jak długo ma trwać inwestycja?</w:t>
            </w:r>
          </w:p>
          <w:p w:rsidR="00F83712" w:rsidRDefault="00F83712" w:rsidP="00141B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Jakie ryzyko jestem w stanie zaakceptować?</w:t>
            </w:r>
          </w:p>
          <w:p w:rsidR="00F83712" w:rsidRDefault="00F83712" w:rsidP="00141B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Jak płynne mają być moje oszczędności?</w:t>
            </w:r>
          </w:p>
          <w:p w:rsidR="00F83712" w:rsidRDefault="00F83712" w:rsidP="007A2D4C">
            <w:pPr>
              <w:spacing w:line="276" w:lineRule="auto"/>
              <w:ind w:left="0"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Kryteria oceny różnych form inwestowania. Nauczyciel rozdaje uczniom kartki z ćwiczeniem. Po wykonaniu ćwiczenia nauczyciel inicjuje krótką dyskusję .</w:t>
            </w: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Grupy po kolei odczytują stworzone przez siebie opisy</w:t>
            </w:r>
            <w:r w:rsidR="007A2D4C"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Ćw.1</w:t>
            </w: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 w:rsidP="007A2D4C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 w:rsidP="007A2D4C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 w:rsidP="007A2D4C">
            <w:pPr>
              <w:spacing w:line="480" w:lineRule="auto"/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Ćw.2</w:t>
            </w: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left="0"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712" w:rsidTr="00F83712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  <w:t>3.Ewaluacja/ podsumowanie</w:t>
            </w:r>
          </w:p>
          <w:p w:rsidR="00F83712" w:rsidRDefault="00F83712">
            <w:pP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ok. 5 min</w:t>
            </w:r>
          </w:p>
          <w:p w:rsidR="00F83712" w:rsidRDefault="00F83712">
            <w:pPr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Podsumowania zadania przez jednego z uczniów.</w:t>
            </w: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Ocenienie wybranych uczniów.</w:t>
            </w: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 xml:space="preserve"> Podsumowanie tematu. Prawdy i mity na temat inwestowania. Prezentacja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F83712" w:rsidRDefault="00F83712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712" w:rsidRDefault="00F83712" w:rsidP="00F83712">
      <w:pPr>
        <w:ind w:firstLine="0"/>
        <w:rPr>
          <w:rStyle w:val="contact-postcode"/>
          <w:rFonts w:ascii="Calibri" w:hAnsi="Calibri"/>
          <w:sz w:val="24"/>
          <w:szCs w:val="24"/>
        </w:rPr>
      </w:pPr>
    </w:p>
    <w:sectPr w:rsidR="00F83712" w:rsidSect="00F41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601F"/>
    <w:multiLevelType w:val="hybridMultilevel"/>
    <w:tmpl w:val="F64E97B4"/>
    <w:lvl w:ilvl="0" w:tplc="A50ADC8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647F4B"/>
    <w:multiLevelType w:val="hybridMultilevel"/>
    <w:tmpl w:val="D4622EA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3712"/>
    <w:rsid w:val="00202F3A"/>
    <w:rsid w:val="003C4EB2"/>
    <w:rsid w:val="003E4BC6"/>
    <w:rsid w:val="004262FA"/>
    <w:rsid w:val="00525BE8"/>
    <w:rsid w:val="00722D25"/>
    <w:rsid w:val="00751547"/>
    <w:rsid w:val="007A2D4C"/>
    <w:rsid w:val="007C1054"/>
    <w:rsid w:val="008B6BAE"/>
    <w:rsid w:val="00944A9A"/>
    <w:rsid w:val="009E3E76"/>
    <w:rsid w:val="00A11652"/>
    <w:rsid w:val="00B314D9"/>
    <w:rsid w:val="00D37423"/>
    <w:rsid w:val="00DD3D5A"/>
    <w:rsid w:val="00E178E3"/>
    <w:rsid w:val="00EE57F9"/>
    <w:rsid w:val="00F41D44"/>
    <w:rsid w:val="00F8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712"/>
    <w:pPr>
      <w:spacing w:line="360" w:lineRule="auto"/>
      <w:ind w:left="357" w:hanging="35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712"/>
    <w:pPr>
      <w:ind w:left="720"/>
      <w:contextualSpacing/>
    </w:pPr>
  </w:style>
  <w:style w:type="character" w:customStyle="1" w:styleId="contact-postcode">
    <w:name w:val="contact-postcode"/>
    <w:rsid w:val="00F83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341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6</cp:revision>
  <dcterms:created xsi:type="dcterms:W3CDTF">2019-07-17T10:00:00Z</dcterms:created>
  <dcterms:modified xsi:type="dcterms:W3CDTF">2019-07-18T07:09:00Z</dcterms:modified>
</cp:coreProperties>
</file>